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bookmarkStart w:id="0" w:name="_Hlk177547361"/>
      <w:bookmarkEnd w:id="0"/>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46C2AB87"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B64E8C">
        <w:t>1</w:t>
      </w:r>
      <w:r w:rsidR="005420B4" w:rsidRPr="00893890">
        <w:t>.</w:t>
      </w:r>
      <w:r w:rsidR="00296EFF">
        <w:t xml:space="preserve"> </w:t>
      </w:r>
      <w:r w:rsidR="00B64E8C">
        <w:t>listopadu</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75349DD5" w14:textId="680A40B7" w:rsidR="004D79D4" w:rsidRDefault="00262CDC"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6652A0">
        <w:rPr>
          <w:rStyle w:val="normaltextrun"/>
          <w:rFonts w:ascii="Arial" w:hAnsi="Arial" w:cs="Arial"/>
          <w:b/>
          <w:bCs/>
          <w:color w:val="000000"/>
          <w:sz w:val="28"/>
          <w:szCs w:val="28"/>
          <w:lang w:val="cs-CZ"/>
        </w:rPr>
        <w:t>Argumenty pro neutrální strategie na akciových trzích v pěti grafech</w:t>
      </w:r>
    </w:p>
    <w:p w14:paraId="61504C6E" w14:textId="492EAFE5" w:rsidR="00DA3B92" w:rsidRPr="00755878" w:rsidRDefault="006652A0"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Strategie absolutního výnosu společnosti Fidelity může investorům pomoci diverzifikovat portfolio a posílit výnosnost akcií tehdy, kdy panuje zvýšená makroekonomická a tržní volatilita.</w:t>
      </w:r>
    </w:p>
    <w:p w14:paraId="7AB1DBF6" w14:textId="77777777" w:rsidR="006652A0" w:rsidRDefault="006652A0" w:rsidP="00955BB4">
      <w:pPr>
        <w:spacing w:line="360" w:lineRule="auto"/>
      </w:pPr>
      <w:r>
        <w:t>Historická data naznačují, že investice do akcií se vyplatí v dlouhodobém horizontu. Například index MSCI All Country World za posledních 15 let (k 31. září 2024) vynášel přibližně 10,2 % anualizovaně. Pro srovnání, index Bloomberg Global Aggregate Total Return Index ve stejném období klesal 0,8 % anualizovaně. Akciové trhy ale mohou být volatilní a jejich výkonnost souvisí s širšími ekonomickými cykly.</w:t>
      </w:r>
    </w:p>
    <w:p w14:paraId="06979012" w14:textId="5BE8EF06" w:rsidR="00955BB4" w:rsidRDefault="00955BB4" w:rsidP="00955BB4">
      <w:pPr>
        <w:spacing w:line="360" w:lineRule="auto"/>
      </w:pPr>
      <w:r>
        <w:t>Právě proto mohou neutrální strategie (EMN) poskytnout akciovým trhům stabilnější možnost diverzifikace a výnosů. Například strategie absolutního výnosu akcií společnosti Fidelity je navržena tak, aby zmírňovala široká rizika akciových trhů tím, že udržuje vyváženou expozici vůči rostoucím i klesajícím trhům, což vede až k nízké či nulové betě. Prostřednictvím výnosů specifických akcií, díky rozsáhlému fundamentálnímu, kvantitativnímu a udržitelném</w:t>
      </w:r>
      <w:r w:rsidR="0072534D">
        <w:t>u</w:t>
      </w:r>
      <w:r>
        <w:t xml:space="preserve"> výzkumu společnosti Fidelity, lze využít dlouhodobý růstový potenciál akcií a zároveň minimalizovat volatilitu a dosáhnout nekorelovaných výnosů.</w:t>
      </w:r>
      <w:r>
        <w:br/>
      </w:r>
      <w:r>
        <w:br/>
        <w:t>Následujících pět grafů ilustruje, proč je pro současné tržní trendy vhodná strategie EMN a jak přístup společnosti Fidelity poskytuje efektivní řešení pro zvládání výzev v dlouhém období.</w:t>
      </w:r>
    </w:p>
    <w:p w14:paraId="3FAC0477" w14:textId="1EEDD3DD" w:rsidR="00955BB4" w:rsidRDefault="00955BB4" w:rsidP="00955BB4">
      <w:pPr>
        <w:rPr>
          <w:b/>
          <w:bCs/>
        </w:rPr>
      </w:pPr>
      <w:r w:rsidRPr="001041EF">
        <w:rPr>
          <w:b/>
          <w:bCs/>
        </w:rPr>
        <w:t>Makroekonomické nejistoty</w:t>
      </w:r>
    </w:p>
    <w:p w14:paraId="15983D03" w14:textId="77777777" w:rsidR="00955BB4" w:rsidRDefault="00955BB4" w:rsidP="00955BB4">
      <w:pPr>
        <w:spacing w:line="360" w:lineRule="auto"/>
      </w:pPr>
      <w:r>
        <w:t>Fidelity působí na trhu, který se potýká se značnými makroekonomickými výzvami. Ty jsou způsobeny vysokou inflací, nejistotou v politice centrálních bank v případě úrokových sazeb, zvýšeným geopolitickým napětím i rizikem zpomalení ekonomik. Toto prostředí se vyznačuje prudkými a nepředvídatelnými výkyvy na trhu, což je znázorněno níže na obrázku 1.</w:t>
      </w:r>
    </w:p>
    <w:p w14:paraId="5C13A817" w14:textId="77777777" w:rsidR="00955BB4" w:rsidRDefault="00955BB4" w:rsidP="00955BB4">
      <w:pPr>
        <w:pStyle w:val="F2-zkladn"/>
      </w:pPr>
    </w:p>
    <w:p w14:paraId="046AF50F" w14:textId="77777777" w:rsidR="00955BB4" w:rsidRDefault="00955BB4" w:rsidP="00955BB4">
      <w:pPr>
        <w:pStyle w:val="F2-zkladn"/>
      </w:pPr>
    </w:p>
    <w:p w14:paraId="63D280D5" w14:textId="77777777" w:rsidR="00955BB4" w:rsidRPr="00955BB4" w:rsidRDefault="00955BB4" w:rsidP="00955BB4">
      <w:pPr>
        <w:pStyle w:val="F2-zkladn"/>
      </w:pPr>
    </w:p>
    <w:p w14:paraId="23E53FA1" w14:textId="57583552" w:rsidR="00955BB4" w:rsidRPr="00BC5F7A" w:rsidRDefault="00955BB4" w:rsidP="00955BB4">
      <w:r w:rsidRPr="00501EC6">
        <w:rPr>
          <w:b/>
          <w:bCs/>
          <w:noProof/>
        </w:rPr>
        <w:lastRenderedPageBreak/>
        <w:drawing>
          <wp:anchor distT="0" distB="0" distL="114300" distR="114300" simplePos="0" relativeHeight="251658240" behindDoc="0" locked="0" layoutInCell="1" allowOverlap="1" wp14:anchorId="6821AA46" wp14:editId="6DE35046">
            <wp:simplePos x="0" y="0"/>
            <wp:positionH relativeFrom="column">
              <wp:posOffset>-1270</wp:posOffset>
            </wp:positionH>
            <wp:positionV relativeFrom="paragraph">
              <wp:posOffset>388620</wp:posOffset>
            </wp:positionV>
            <wp:extent cx="5759450" cy="2219960"/>
            <wp:effectExtent l="0" t="0" r="0" b="8890"/>
            <wp:wrapTopAndBottom/>
            <wp:docPr id="1729860498" name="Obrázek 10" descr="case-equity-market-neutral-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se-equity-market-neutral-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219960"/>
                    </a:xfrm>
                    <a:prstGeom prst="rect">
                      <a:avLst/>
                    </a:prstGeom>
                    <a:noFill/>
                    <a:ln>
                      <a:noFill/>
                    </a:ln>
                  </pic:spPr>
                </pic:pic>
              </a:graphicData>
            </a:graphic>
          </wp:anchor>
        </w:drawing>
      </w:r>
      <w:r w:rsidRPr="00BC5F7A">
        <w:rPr>
          <w:b/>
          <w:bCs/>
        </w:rPr>
        <w:t xml:space="preserve">Obrázek 1: </w:t>
      </w:r>
      <w:r>
        <w:rPr>
          <w:b/>
          <w:bCs/>
        </w:rPr>
        <w:t>Tržní rotace</w:t>
      </w:r>
      <w:r w:rsidRPr="00BC5F7A">
        <w:rPr>
          <w:b/>
          <w:bCs/>
        </w:rPr>
        <w:t>, MSCI AC Value vs. Growth a MSCI AC Large Cap vs. Small Cap</w:t>
      </w:r>
    </w:p>
    <w:p w14:paraId="55F7070B" w14:textId="77777777" w:rsidR="00955BB4" w:rsidRPr="00955BB4" w:rsidRDefault="00955BB4" w:rsidP="00955BB4">
      <w:pPr>
        <w:jc w:val="right"/>
        <w:rPr>
          <w:i/>
          <w:iCs/>
          <w:sz w:val="18"/>
          <w:szCs w:val="18"/>
        </w:rPr>
      </w:pPr>
      <w:r w:rsidRPr="00955BB4">
        <w:rPr>
          <w:i/>
          <w:iCs/>
          <w:sz w:val="18"/>
          <w:szCs w:val="18"/>
        </w:rPr>
        <w:t>Zdroj: LSEG Datastream, 30. září 2024</w:t>
      </w:r>
    </w:p>
    <w:p w14:paraId="09FF6672" w14:textId="5950076B" w:rsidR="00955BB4" w:rsidRDefault="00955BB4" w:rsidP="00955BB4">
      <w:pPr>
        <w:spacing w:line="360" w:lineRule="auto"/>
      </w:pPr>
      <w:r w:rsidRPr="007C6743">
        <w:t xml:space="preserve">V tomto investičním </w:t>
      </w:r>
      <w:r>
        <w:t>prostoru</w:t>
      </w:r>
      <w:r w:rsidRPr="007C6743">
        <w:t xml:space="preserve"> je pro tradiční</w:t>
      </w:r>
      <w:r>
        <w:t xml:space="preserve"> směrové </w:t>
      </w:r>
      <w:r w:rsidRPr="007C6743">
        <w:t xml:space="preserve">akciové strategie obtížné dosahovat trvalých výnosů. </w:t>
      </w:r>
      <w:r>
        <w:t>S</w:t>
      </w:r>
      <w:r w:rsidRPr="007C6743">
        <w:t>trategie</w:t>
      </w:r>
      <w:r>
        <w:t xml:space="preserve"> absolutní návratnosti</w:t>
      </w:r>
      <w:r w:rsidRPr="007C6743">
        <w:t xml:space="preserve"> společnosti Fidelity se vyhýbá závislosti na beta a dalších rizicích, což ji chrání před nevyzpytatelnými změnami, které ukazuje výše uvedený graf. Slouží jako robustní diverzifikační nástroj pro investory, kteří se chtějí pohybovat v nejistém tržním prostředí, a poskytuje výnosy nezávislé na </w:t>
      </w:r>
      <w:r>
        <w:t>stoupání</w:t>
      </w:r>
      <w:r w:rsidRPr="007C6743">
        <w:t xml:space="preserve"> a </w:t>
      </w:r>
      <w:r>
        <w:t>klesání</w:t>
      </w:r>
      <w:r w:rsidRPr="007C6743">
        <w:t xml:space="preserve"> trhu.</w:t>
      </w:r>
    </w:p>
    <w:p w14:paraId="52E825A3" w14:textId="13ED7FA6" w:rsidR="00955BB4" w:rsidRDefault="00955BB4" w:rsidP="00955BB4">
      <w:pPr>
        <w:pStyle w:val="F2-zkladn"/>
        <w:rPr>
          <w:b/>
          <w:bCs/>
        </w:rPr>
      </w:pPr>
      <w:r>
        <w:rPr>
          <w:b/>
          <w:bCs/>
        </w:rPr>
        <w:t>Nesoulad korelace</w:t>
      </w:r>
    </w:p>
    <w:p w14:paraId="470BBAC2" w14:textId="77777777" w:rsidR="00955BB4" w:rsidRPr="00FE142C" w:rsidRDefault="00955BB4" w:rsidP="00955BB4">
      <w:pPr>
        <w:spacing w:line="360" w:lineRule="auto"/>
      </w:pPr>
      <w:r w:rsidRPr="00FE142C">
        <w:t xml:space="preserve">Investoři se tradičně </w:t>
      </w:r>
      <w:r>
        <w:t>uchylují</w:t>
      </w:r>
      <w:r w:rsidRPr="00FE142C">
        <w:t xml:space="preserve"> ke státním dluhopisům, aby zmírnili volatilitu akcií, v rámci</w:t>
      </w:r>
      <w:r>
        <w:t> </w:t>
      </w:r>
      <w:r w:rsidRPr="00FE142C">
        <w:t>poměru</w:t>
      </w:r>
      <w:r>
        <w:t xml:space="preserve"> </w:t>
      </w:r>
      <w:r w:rsidRPr="00FE142C">
        <w:t>60/40</w:t>
      </w:r>
      <w:r>
        <w:t xml:space="preserve"> při alokaci prostředků mezi akcie a dluhopisy</w:t>
      </w:r>
      <w:r w:rsidRPr="00FE142C">
        <w:t xml:space="preserve">. </w:t>
      </w:r>
      <w:r>
        <w:t>Nyní v</w:t>
      </w:r>
      <w:r w:rsidRPr="00FE142C">
        <w:t xml:space="preserve"> prostředí vysokých úrokových sazeb však negativní korelace mezi dluhopisy a akciemi zeslábla, což poukazuje na anomálii posledních několika desetiletí. Historick</w:t>
      </w:r>
      <w:r>
        <w:t>á data</w:t>
      </w:r>
      <w:r w:rsidRPr="00FE142C">
        <w:t xml:space="preserve"> od roku 1979 (znázorněn</w:t>
      </w:r>
      <w:r>
        <w:t>á</w:t>
      </w:r>
      <w:r w:rsidRPr="00FE142C">
        <w:t xml:space="preserve"> na obrázku 2) ukazují nestabilní povahu korelací mezi těmito třídami aktiv.</w:t>
      </w:r>
    </w:p>
    <w:p w14:paraId="7BFAF8FC" w14:textId="77777777" w:rsidR="00955BB4" w:rsidRPr="00FE142C" w:rsidRDefault="00955BB4" w:rsidP="00955BB4">
      <w:pPr>
        <w:spacing w:line="360" w:lineRule="auto"/>
      </w:pPr>
      <w:r>
        <w:t>Nestabilní korelace je</w:t>
      </w:r>
      <w:r w:rsidRPr="00FE142C">
        <w:t xml:space="preserve"> v důsledku </w:t>
      </w:r>
      <w:r>
        <w:t>různých</w:t>
      </w:r>
      <w:r w:rsidRPr="00FE142C">
        <w:t xml:space="preserve"> makroekonomických a kulturních změn ještě výraznější. Schopnost státních dluhopisů fungovat jako polštář proti volatilitě akcií může v příštích letech slábnout. Kromě státních dluhopisů budou investoři potřebovat další zdroje výnosů, které mohou působit proti turbulencím na akciových trzích, </w:t>
      </w:r>
      <w:r>
        <w:t>přičemž</w:t>
      </w:r>
      <w:r w:rsidRPr="00FE142C">
        <w:t xml:space="preserve"> strategie</w:t>
      </w:r>
      <w:r>
        <w:t xml:space="preserve"> společnosti Fidelity</w:t>
      </w:r>
      <w:r w:rsidRPr="00FE142C">
        <w:t xml:space="preserve"> nabízí přesvědčivý přístup tím, že poskytuje diverzifikační potenciál ve srovnání s tradičními třídami aktiv</w:t>
      </w:r>
      <w:r>
        <w:t xml:space="preserve"> – dluhopisy</w:t>
      </w:r>
      <w:r w:rsidRPr="00FE142C">
        <w:t xml:space="preserve"> a akci</w:t>
      </w:r>
      <w:r>
        <w:t>emi</w:t>
      </w:r>
      <w:r w:rsidRPr="00FE142C">
        <w:t>.</w:t>
      </w:r>
    </w:p>
    <w:p w14:paraId="66382CA2" w14:textId="77777777" w:rsidR="00955BB4" w:rsidRDefault="00955BB4" w:rsidP="00955BB4">
      <w:pPr>
        <w:rPr>
          <w:b/>
          <w:bCs/>
        </w:rPr>
      </w:pPr>
    </w:p>
    <w:p w14:paraId="0A54A0C7" w14:textId="77777777" w:rsidR="00955BB4" w:rsidRPr="00955BB4" w:rsidRDefault="00955BB4" w:rsidP="00955BB4">
      <w:pPr>
        <w:pStyle w:val="F2-zkladn"/>
      </w:pPr>
    </w:p>
    <w:p w14:paraId="0995BCFE" w14:textId="77777777" w:rsidR="00955BB4" w:rsidRDefault="00955BB4" w:rsidP="00955BB4">
      <w:pPr>
        <w:rPr>
          <w:b/>
          <w:bCs/>
        </w:rPr>
      </w:pPr>
    </w:p>
    <w:p w14:paraId="5CFCFE01" w14:textId="77777777" w:rsidR="00955BB4" w:rsidRDefault="00955BB4" w:rsidP="00955BB4">
      <w:pPr>
        <w:rPr>
          <w:b/>
          <w:bCs/>
        </w:rPr>
      </w:pPr>
    </w:p>
    <w:p w14:paraId="2CD99DD1" w14:textId="77777777" w:rsidR="00955BB4" w:rsidRDefault="00955BB4" w:rsidP="00955BB4">
      <w:pPr>
        <w:rPr>
          <w:b/>
          <w:bCs/>
        </w:rPr>
      </w:pPr>
    </w:p>
    <w:p w14:paraId="38D3A69D" w14:textId="6BA8A0D2" w:rsidR="00BD2B9E" w:rsidRPr="00955BB4" w:rsidRDefault="00955BB4" w:rsidP="00955BB4">
      <w:pPr>
        <w:rPr>
          <w:b/>
          <w:bCs/>
        </w:rPr>
      </w:pPr>
      <w:r w:rsidRPr="00FE142C">
        <w:rPr>
          <w:b/>
          <w:bCs/>
        </w:rPr>
        <w:lastRenderedPageBreak/>
        <w:t>Obrázek 2: Korelace mezi akciemi a dluhopisy od roku 1979</w:t>
      </w:r>
    </w:p>
    <w:p w14:paraId="3D5E6154" w14:textId="77777777" w:rsidR="00955BB4" w:rsidRDefault="00955BB4" w:rsidP="00BD2B9E">
      <w:pPr>
        <w:pStyle w:val="FIL3Body"/>
        <w:spacing w:before="160" w:after="160" w:line="360" w:lineRule="auto"/>
        <w:jc w:val="both"/>
        <w:rPr>
          <w:rFonts w:cs="Arial"/>
          <w:color w:val="auto"/>
          <w:sz w:val="20"/>
          <w:szCs w:val="20"/>
          <w:lang w:val="cs-CZ" w:eastAsia="cs-CZ"/>
        </w:rPr>
      </w:pPr>
      <w:r w:rsidRPr="00501EC6">
        <w:rPr>
          <w:b/>
          <w:bCs/>
          <w:noProof/>
        </w:rPr>
        <w:drawing>
          <wp:inline distT="0" distB="0" distL="0" distR="0" wp14:anchorId="604B7388" wp14:editId="597DA116">
            <wp:extent cx="5759450" cy="2180590"/>
            <wp:effectExtent l="0" t="0" r="0" b="0"/>
            <wp:docPr id="1061410610" name="Obrázek 9" descr="case-equity-market-neutral-cha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se-equity-market-neutral-chart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180590"/>
                    </a:xfrm>
                    <a:prstGeom prst="rect">
                      <a:avLst/>
                    </a:prstGeom>
                    <a:noFill/>
                    <a:ln>
                      <a:noFill/>
                    </a:ln>
                  </pic:spPr>
                </pic:pic>
              </a:graphicData>
            </a:graphic>
          </wp:inline>
        </w:drawing>
      </w:r>
    </w:p>
    <w:p w14:paraId="68C8984C" w14:textId="096DB7BD" w:rsidR="00955BB4" w:rsidRPr="00955BB4" w:rsidRDefault="00955BB4" w:rsidP="00955BB4">
      <w:pPr>
        <w:rPr>
          <w:i/>
          <w:iCs/>
          <w:sz w:val="18"/>
          <w:szCs w:val="18"/>
        </w:rPr>
      </w:pPr>
      <w:r w:rsidRPr="00955BB4">
        <w:rPr>
          <w:i/>
          <w:iCs/>
          <w:sz w:val="18"/>
          <w:szCs w:val="18"/>
        </w:rPr>
        <w:t xml:space="preserve">Zdroj: LSEG Datastream, Fidelity International, </w:t>
      </w:r>
      <w:r>
        <w:rPr>
          <w:i/>
          <w:iCs/>
          <w:sz w:val="18"/>
          <w:szCs w:val="18"/>
        </w:rPr>
        <w:t>z</w:t>
      </w:r>
      <w:r w:rsidRPr="00955BB4">
        <w:rPr>
          <w:i/>
          <w:iCs/>
          <w:sz w:val="18"/>
          <w:szCs w:val="18"/>
        </w:rPr>
        <w:t>áří 2024. Data ukazují korelaci mezi akciemi a dluhopisy od února 1979 do září 2024. Dluhopisy reprezentuje index Bloomberg U.S. Aggregate USD. Akcie reprezentuje index S&amp;P 500. Poznámka: Prostředí rostoucích sazeb je vystínováno šedě. Pouze pro ilustrační účely.</w:t>
      </w:r>
    </w:p>
    <w:p w14:paraId="01677E85" w14:textId="3F930BA8" w:rsidR="00955BB4" w:rsidRPr="00955BB4" w:rsidRDefault="00955BB4" w:rsidP="00955BB4">
      <w:pPr>
        <w:rPr>
          <w:b/>
          <w:bCs/>
        </w:rPr>
      </w:pPr>
      <w:r>
        <w:rPr>
          <w:b/>
          <w:bCs/>
        </w:rPr>
        <w:t xml:space="preserve">Orientace ve vyšších valuacích </w:t>
      </w:r>
    </w:p>
    <w:p w14:paraId="4AA33720" w14:textId="77777777" w:rsidR="00955BB4" w:rsidRPr="003B570B" w:rsidRDefault="00955BB4" w:rsidP="00955BB4">
      <w:r w:rsidRPr="003B570B">
        <w:t xml:space="preserve">Mnoho regionálních indexů se obchoduje na úrovni mediánu </w:t>
      </w:r>
      <w:r>
        <w:t>valuací</w:t>
      </w:r>
      <w:r w:rsidRPr="003B570B">
        <w:t xml:space="preserve"> nebo nad ním, přičemž některé z nich se blíží historickým maximům. Na trzích, jako jsou Spojené státy, je aktuální 12měsíční forwardový poměr </w:t>
      </w:r>
      <w:r>
        <w:t>P/E nad 21</w:t>
      </w:r>
      <w:r w:rsidRPr="003B570B">
        <w:t xml:space="preserve"> ve srovnání s historickým mediánem přibližně 16 (viz obrázek 3). S rostoucím</w:t>
      </w:r>
      <w:r>
        <w:t>i</w:t>
      </w:r>
      <w:r w:rsidRPr="003B570B">
        <w:t xml:space="preserve"> </w:t>
      </w:r>
      <w:r>
        <w:t>valuacemi</w:t>
      </w:r>
      <w:r w:rsidRPr="003B570B">
        <w:t xml:space="preserve"> je také vyšší riziko</w:t>
      </w:r>
      <w:r>
        <w:t xml:space="preserve"> obrácení</w:t>
      </w:r>
      <w:r w:rsidRPr="003B570B">
        <w:t>, například v případě negativních oznámení nebo změny nálady investorů.</w:t>
      </w:r>
    </w:p>
    <w:p w14:paraId="2DC32760" w14:textId="109583A5" w:rsidR="00DA3B92" w:rsidRPr="00BD2B9E" w:rsidRDefault="00955BB4" w:rsidP="00BD2B9E">
      <w:pPr>
        <w:pStyle w:val="FIL3Body"/>
        <w:spacing w:before="160" w:after="160" w:line="360" w:lineRule="auto"/>
        <w:jc w:val="both"/>
        <w:rPr>
          <w:rFonts w:cs="Arial"/>
          <w:color w:val="auto"/>
          <w:sz w:val="20"/>
          <w:szCs w:val="20"/>
          <w:lang w:val="cs-CZ" w:eastAsia="cs-CZ"/>
        </w:rPr>
      </w:pPr>
      <w:r>
        <w:rPr>
          <w:rFonts w:cs="Arial"/>
          <w:color w:val="auto"/>
          <w:sz w:val="20"/>
          <w:szCs w:val="20"/>
          <w:lang w:val="cs-CZ" w:eastAsia="cs-CZ"/>
        </w:rPr>
        <w:br/>
      </w:r>
      <w:r>
        <w:rPr>
          <w:rFonts w:cs="Arial"/>
          <w:b/>
          <w:bCs/>
          <w:color w:val="20242B"/>
          <w:sz w:val="20"/>
          <w:szCs w:val="20"/>
          <w:shd w:val="clear" w:color="auto" w:fill="FFFFFF"/>
          <w:lang w:val="cs-CZ" w:eastAsia="cs-CZ"/>
        </w:rPr>
        <w:t>Obrázek 3: Ocenění měřené 12měsíčním forwardovým poměrem P/E podle trhů</w:t>
      </w:r>
    </w:p>
    <w:p w14:paraId="5098D914" w14:textId="4DC6D467" w:rsidR="00794013" w:rsidRPr="00955BB4" w:rsidRDefault="00955BB4" w:rsidP="00794013">
      <w:pPr>
        <w:pStyle w:val="FIL3Body"/>
        <w:spacing w:before="0" w:after="0" w:line="240" w:lineRule="auto"/>
        <w:rPr>
          <w:i/>
          <w:iCs/>
          <w:sz w:val="20"/>
          <w:szCs w:val="20"/>
          <w:lang w:val="cs-CZ"/>
        </w:rPr>
      </w:pPr>
      <w:r w:rsidRPr="00501EC6">
        <w:rPr>
          <w:b/>
          <w:bCs/>
          <w:noProof/>
        </w:rPr>
        <w:drawing>
          <wp:inline distT="0" distB="0" distL="0" distR="0" wp14:anchorId="1BAD7EA1" wp14:editId="139DF94B">
            <wp:extent cx="5759450" cy="2135669"/>
            <wp:effectExtent l="0" t="0" r="0" b="0"/>
            <wp:docPr id="1747216035" name="Obrázek 8" descr="case-equity-market-neutral-char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se-equity-market-neutral-chart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135669"/>
                    </a:xfrm>
                    <a:prstGeom prst="rect">
                      <a:avLst/>
                    </a:prstGeom>
                    <a:noFill/>
                    <a:ln>
                      <a:noFill/>
                    </a:ln>
                  </pic:spPr>
                </pic:pic>
              </a:graphicData>
            </a:graphic>
          </wp:inline>
        </w:drawing>
      </w:r>
      <w:r w:rsidRPr="00955BB4">
        <w:rPr>
          <w:rFonts w:cs="Arial"/>
          <w:i/>
          <w:iCs/>
          <w:color w:val="auto"/>
          <w:sz w:val="20"/>
          <w:szCs w:val="20"/>
          <w:lang w:val="cs-CZ" w:eastAsia="cs-CZ"/>
        </w:rPr>
        <w:t>Zdroj: LSEG Datastream, 30. září 2024. Valuační data pro klíčové MSCI indexy napříč regiony (2004-2024).</w:t>
      </w:r>
    </w:p>
    <w:p w14:paraId="12CCA3C5" w14:textId="77777777" w:rsidR="00794013" w:rsidRPr="00955BB4" w:rsidRDefault="00794013" w:rsidP="00794013">
      <w:pPr>
        <w:pStyle w:val="FIL3Body"/>
        <w:spacing w:before="0" w:after="0" w:line="240" w:lineRule="auto"/>
        <w:rPr>
          <w:sz w:val="15"/>
          <w:szCs w:val="15"/>
          <w:lang w:val="cs-CZ"/>
        </w:rPr>
      </w:pPr>
    </w:p>
    <w:p w14:paraId="51934723" w14:textId="77777777" w:rsidR="00955BB4" w:rsidRDefault="00955BB4" w:rsidP="00794013">
      <w:pPr>
        <w:pStyle w:val="FIL3Body"/>
        <w:spacing w:before="0" w:after="0" w:line="360" w:lineRule="auto"/>
        <w:jc w:val="both"/>
        <w:rPr>
          <w:rFonts w:cs="Arial"/>
          <w:color w:val="auto"/>
          <w:sz w:val="20"/>
          <w:szCs w:val="20"/>
          <w:lang w:val="cs-CZ" w:eastAsia="cs-CZ"/>
        </w:rPr>
      </w:pPr>
    </w:p>
    <w:p w14:paraId="614CD084" w14:textId="77777777" w:rsidR="00955BB4" w:rsidRDefault="00955BB4" w:rsidP="00794013">
      <w:pPr>
        <w:pStyle w:val="FIL3Body"/>
        <w:spacing w:before="0" w:after="0" w:line="360" w:lineRule="auto"/>
        <w:jc w:val="both"/>
        <w:rPr>
          <w:rFonts w:cs="Arial"/>
          <w:color w:val="auto"/>
          <w:sz w:val="20"/>
          <w:szCs w:val="20"/>
          <w:lang w:val="cs-CZ" w:eastAsia="cs-CZ"/>
        </w:rPr>
      </w:pPr>
    </w:p>
    <w:p w14:paraId="19F5FCF8" w14:textId="77777777" w:rsidR="00955BB4" w:rsidRDefault="00955BB4" w:rsidP="00794013">
      <w:pPr>
        <w:pStyle w:val="FIL3Body"/>
        <w:spacing w:before="0" w:after="0" w:line="360" w:lineRule="auto"/>
        <w:jc w:val="both"/>
        <w:rPr>
          <w:rFonts w:cs="Arial"/>
          <w:color w:val="auto"/>
          <w:sz w:val="20"/>
          <w:szCs w:val="20"/>
          <w:lang w:val="cs-CZ" w:eastAsia="cs-CZ"/>
        </w:rPr>
      </w:pPr>
    </w:p>
    <w:p w14:paraId="318E403C" w14:textId="77777777" w:rsidR="001D4CF8" w:rsidRDefault="001D4CF8" w:rsidP="001D4CF8">
      <w:pPr>
        <w:pStyle w:val="FIL3Body"/>
        <w:spacing w:line="360" w:lineRule="auto"/>
        <w:jc w:val="both"/>
        <w:rPr>
          <w:rFonts w:cs="Arial"/>
          <w:color w:val="20242B"/>
          <w:sz w:val="20"/>
          <w:szCs w:val="20"/>
          <w:shd w:val="clear" w:color="auto" w:fill="FFFFFF"/>
          <w:lang w:val="cs-CZ" w:eastAsia="cs-CZ"/>
        </w:rPr>
      </w:pPr>
    </w:p>
    <w:p w14:paraId="268847F4" w14:textId="43161570" w:rsidR="00955BB4" w:rsidRPr="00955BB4" w:rsidRDefault="00955BB4" w:rsidP="00955BB4">
      <w:pPr>
        <w:spacing w:line="360" w:lineRule="auto"/>
      </w:pPr>
      <w:r>
        <w:lastRenderedPageBreak/>
        <w:t>Přístup absolutní návratnosti se zaměřuje na výběr akcií, a proto je méně závislým na celkovém směřování trhu. Krom toho snižuje expozici vůči širším tržním rizikům. Díky tomu je tato strategie atraktivní zejména v obdobích zvýšených valuací na trhu, kdy jsou rizika poklesu výraznější.</w:t>
      </w:r>
      <w:r>
        <w:br/>
      </w:r>
    </w:p>
    <w:p w14:paraId="37FF2D64" w14:textId="350CC8B0" w:rsidR="001D4CF8" w:rsidRPr="001D4CF8" w:rsidRDefault="00955BB4" w:rsidP="001D4CF8">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t>Riziko „</w:t>
      </w:r>
      <w:r w:rsidR="00B64E8C">
        <w:rPr>
          <w:rFonts w:cs="Arial"/>
          <w:b/>
          <w:bCs/>
          <w:color w:val="20242B"/>
          <w:sz w:val="20"/>
          <w:szCs w:val="20"/>
          <w:shd w:val="clear" w:color="auto" w:fill="FFFFFF"/>
          <w:lang w:val="cs-CZ" w:eastAsia="cs-CZ"/>
        </w:rPr>
        <w:t>miláčků davu“ na vzestupu</w:t>
      </w:r>
    </w:p>
    <w:p w14:paraId="14CDDBC7" w14:textId="1C8AFF8C" w:rsidR="00794013" w:rsidRPr="00B64E8C" w:rsidRDefault="00B64E8C" w:rsidP="00B64E8C">
      <w:pPr>
        <w:spacing w:line="360" w:lineRule="auto"/>
      </w:pPr>
      <w:r>
        <w:t>V rámci akciových trhů přispěl vzestup pasivního investování k vyšší koncentraci a způsobil davové nákupy akcií. Pokud se příliš mnoho investorů honí za stejnými příležitostmi, snižuje se potenciál k dosažení lepších výsledků. Jinými slovy, investoři jsou vystaveni sice menšímu počtu faktorů ovlivňujících výkonnost, ale u malého počtu akcií, což investory činí zranitelnějšími, když tyto akcie nedosahují dostatečné výkonnosti. To dokládají i nedávné otřesy na trhu u akcií souvisejících s umělou inteligencí.</w:t>
      </w:r>
    </w:p>
    <w:p w14:paraId="0A026AA6" w14:textId="229422A2" w:rsidR="00B64E8C" w:rsidRDefault="00B64E8C" w:rsidP="00B64E8C">
      <w:pPr>
        <w:spacing w:line="360" w:lineRule="auto"/>
      </w:pPr>
      <w:r w:rsidRPr="00B6710A">
        <w:t>Vysokou koncentraci v současném tržním prostředí dokládá obrázek 4, který ukazuje, jak „velk</w:t>
      </w:r>
      <w:r>
        <w:t>á</w:t>
      </w:r>
      <w:r w:rsidRPr="00B6710A">
        <w:t xml:space="preserve"> </w:t>
      </w:r>
      <w:r>
        <w:t>sedma</w:t>
      </w:r>
      <w:r w:rsidRPr="00B6710A">
        <w:t>“ akcií dominuje indexu S&amp;P 500 - což podtrhuje rostoucí riziko koncentrované tržní expozice. Pasivní investování do indexu S&amp;P 500 znamená, že sedm akcií tvoří téměř třetinu držených podílů. Vzhledem k jejich dominanci může mít klopýtnutí ve výkonnosti velký dopad na portfolia, která jsou indexem</w:t>
      </w:r>
      <w:r>
        <w:t xml:space="preserve"> omezena.  My</w:t>
      </w:r>
      <w:r w:rsidRPr="00B6710A">
        <w:t xml:space="preserve"> jsme byli svědky toho, že některé technologické tituly</w:t>
      </w:r>
      <w:r>
        <w:t xml:space="preserve"> z řad</w:t>
      </w:r>
      <w:r w:rsidRPr="00B6710A">
        <w:t xml:space="preserve"> </w:t>
      </w:r>
      <w:r>
        <w:t>„mega-caps“</w:t>
      </w:r>
      <w:r w:rsidRPr="00B6710A">
        <w:t xml:space="preserve"> nebyly schopny naplnit stupňující se očekávání.</w:t>
      </w:r>
    </w:p>
    <w:p w14:paraId="64254706" w14:textId="6378AE45" w:rsidR="00794013" w:rsidRPr="001D4CF8" w:rsidRDefault="00B64E8C" w:rsidP="00794013">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br/>
        <w:t>Obrázek</w:t>
      </w:r>
      <w:r w:rsidR="00794013">
        <w:rPr>
          <w:rFonts w:cs="Arial"/>
          <w:b/>
          <w:bCs/>
          <w:color w:val="20242B"/>
          <w:sz w:val="20"/>
          <w:szCs w:val="20"/>
          <w:shd w:val="clear" w:color="auto" w:fill="FFFFFF"/>
          <w:lang w:val="cs-CZ" w:eastAsia="cs-CZ"/>
        </w:rPr>
        <w:t xml:space="preserve"> </w:t>
      </w:r>
      <w:r>
        <w:rPr>
          <w:rFonts w:cs="Arial"/>
          <w:b/>
          <w:bCs/>
          <w:color w:val="20242B"/>
          <w:sz w:val="20"/>
          <w:szCs w:val="20"/>
          <w:shd w:val="clear" w:color="auto" w:fill="FFFFFF"/>
          <w:lang w:val="cs-CZ" w:eastAsia="cs-CZ"/>
        </w:rPr>
        <w:t>4</w:t>
      </w:r>
      <w:r w:rsidR="00794013">
        <w:rPr>
          <w:rFonts w:cs="Arial"/>
          <w:b/>
          <w:bCs/>
          <w:color w:val="20242B"/>
          <w:sz w:val="20"/>
          <w:szCs w:val="20"/>
          <w:shd w:val="clear" w:color="auto" w:fill="FFFFFF"/>
          <w:lang w:val="cs-CZ" w:eastAsia="cs-CZ"/>
        </w:rPr>
        <w:t xml:space="preserve">: </w:t>
      </w:r>
      <w:r>
        <w:rPr>
          <w:rFonts w:cs="Arial"/>
          <w:b/>
          <w:bCs/>
          <w:color w:val="20242B"/>
          <w:sz w:val="20"/>
          <w:szCs w:val="20"/>
          <w:shd w:val="clear" w:color="auto" w:fill="FFFFFF"/>
          <w:lang w:val="cs-CZ" w:eastAsia="cs-CZ"/>
        </w:rPr>
        <w:t xml:space="preserve">Váha akcií „Magnificent 7“ v indexu </w:t>
      </w:r>
      <w:r w:rsidRPr="00B64E8C">
        <w:rPr>
          <w:rFonts w:cs="Arial"/>
          <w:b/>
          <w:bCs/>
          <w:color w:val="20242B"/>
          <w:sz w:val="20"/>
          <w:szCs w:val="20"/>
          <w:shd w:val="clear" w:color="auto" w:fill="FFFFFF"/>
          <w:lang w:val="cs-CZ" w:eastAsia="cs-CZ"/>
        </w:rPr>
        <w:t>S&amp;P 500</w:t>
      </w:r>
    </w:p>
    <w:p w14:paraId="40CB7367" w14:textId="5E981A67" w:rsidR="00794013" w:rsidRPr="00673018" w:rsidRDefault="00794013" w:rsidP="00794013">
      <w:pPr>
        <w:pStyle w:val="FIL3Body"/>
        <w:jc w:val="right"/>
        <w:rPr>
          <w:sz w:val="15"/>
          <w:szCs w:val="15"/>
          <w:lang w:val="cs-CZ"/>
        </w:rPr>
      </w:pPr>
      <w:r>
        <w:rPr>
          <w:noProof/>
        </w:rPr>
        <w:drawing>
          <wp:inline distT="0" distB="0" distL="0" distR="0" wp14:anchorId="3150EABE" wp14:editId="4D09103B">
            <wp:extent cx="5759450" cy="2210273"/>
            <wp:effectExtent l="0" t="0" r="0" b="0"/>
            <wp:docPr id="1020627402" name="Chart 1">
              <a:extLst xmlns:a="http://schemas.openxmlformats.org/drawingml/2006/main">
                <a:ext uri="{FF2B5EF4-FFF2-40B4-BE49-F238E27FC236}">
                  <a16:creationId xmlns:a16="http://schemas.microsoft.com/office/drawing/2014/main" id="{175258A7-485B-2049-23EA-AB6A274208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673018">
        <w:rPr>
          <w:sz w:val="15"/>
          <w:szCs w:val="15"/>
          <w:lang w:val="cs-CZ"/>
        </w:rPr>
        <w:t xml:space="preserve"> </w:t>
      </w:r>
      <w:r w:rsidRPr="00794013">
        <w:rPr>
          <w:rFonts w:cs="Arial"/>
          <w:color w:val="auto"/>
          <w:sz w:val="16"/>
          <w:szCs w:val="16"/>
          <w:lang w:val="cs-CZ" w:eastAsia="cs-CZ"/>
        </w:rPr>
        <w:t xml:space="preserve">Zdroj: </w:t>
      </w:r>
      <w:r w:rsidR="00B64E8C">
        <w:rPr>
          <w:rFonts w:cs="Arial"/>
          <w:color w:val="auto"/>
          <w:sz w:val="16"/>
          <w:szCs w:val="16"/>
          <w:lang w:val="cs-CZ" w:eastAsia="cs-CZ"/>
        </w:rPr>
        <w:t xml:space="preserve">LSEG Datastream, 30. září 2024. Poznámka: „Magnificent 7“ akcie zahrnují společnosti Apple, Microsoft, Alphabet, Amazon, Nvidia, Tesla a Meta. </w:t>
      </w:r>
      <w:r w:rsidRPr="00673018">
        <w:rPr>
          <w:sz w:val="15"/>
          <w:szCs w:val="15"/>
          <w:lang w:val="cs-CZ"/>
        </w:rPr>
        <w:t xml:space="preserve"> </w:t>
      </w:r>
    </w:p>
    <w:p w14:paraId="21E515B5" w14:textId="77777777" w:rsidR="00B64E8C" w:rsidRDefault="00B64E8C" w:rsidP="00B64E8C">
      <w:r>
        <w:t>Cílem strategie absolutní návratnosti akcií společnosti Fidelity je nabídnout diverzifikovanou expozici tím, že se vyhne větší závislosti na mega caps, sníží expozici vůči společným vlivům a zachytí faktory ovlivňující výnos jednotlivých akcií. Tento přístup pomáhá zmírnit rizika „koncentrace davů“ a poskytuje jedinečný způsob, jak generovat výnosy právě na koncentrovaném trhu.</w:t>
      </w:r>
    </w:p>
    <w:p w14:paraId="03D97664" w14:textId="77777777" w:rsidR="00B64E8C" w:rsidRDefault="00B64E8C" w:rsidP="00896FD1">
      <w:pPr>
        <w:pStyle w:val="FIL3Body"/>
        <w:spacing w:line="360" w:lineRule="auto"/>
        <w:jc w:val="both"/>
        <w:rPr>
          <w:rFonts w:cs="Arial"/>
          <w:b/>
          <w:bCs/>
          <w:color w:val="20242B"/>
          <w:sz w:val="20"/>
          <w:szCs w:val="20"/>
          <w:shd w:val="clear" w:color="auto" w:fill="FFFFFF"/>
          <w:lang w:val="cs-CZ" w:eastAsia="cs-CZ"/>
        </w:rPr>
      </w:pPr>
    </w:p>
    <w:p w14:paraId="2E6E6E39" w14:textId="77777777" w:rsidR="00B64E8C" w:rsidRDefault="00B64E8C" w:rsidP="00896FD1">
      <w:pPr>
        <w:pStyle w:val="FIL3Body"/>
        <w:spacing w:line="360" w:lineRule="auto"/>
        <w:jc w:val="both"/>
        <w:rPr>
          <w:rFonts w:cs="Arial"/>
          <w:b/>
          <w:bCs/>
          <w:color w:val="20242B"/>
          <w:sz w:val="20"/>
          <w:szCs w:val="20"/>
          <w:shd w:val="clear" w:color="auto" w:fill="FFFFFF"/>
          <w:lang w:val="cs-CZ" w:eastAsia="cs-CZ"/>
        </w:rPr>
      </w:pPr>
    </w:p>
    <w:p w14:paraId="28C40B69" w14:textId="77777777" w:rsidR="00B64E8C" w:rsidRDefault="00B64E8C" w:rsidP="00896FD1">
      <w:pPr>
        <w:pStyle w:val="FIL3Body"/>
        <w:spacing w:line="360" w:lineRule="auto"/>
        <w:jc w:val="both"/>
        <w:rPr>
          <w:rFonts w:cs="Arial"/>
          <w:b/>
          <w:bCs/>
          <w:color w:val="20242B"/>
          <w:sz w:val="20"/>
          <w:szCs w:val="20"/>
          <w:shd w:val="clear" w:color="auto" w:fill="FFFFFF"/>
          <w:lang w:val="cs-CZ" w:eastAsia="cs-CZ"/>
        </w:rPr>
      </w:pPr>
    </w:p>
    <w:p w14:paraId="66D5F04D" w14:textId="0E2398E7" w:rsidR="00896FD1" w:rsidRPr="00794013" w:rsidRDefault="00B64E8C" w:rsidP="00896FD1">
      <w:pPr>
        <w:pStyle w:val="FIL3Body"/>
        <w:spacing w:line="360" w:lineRule="auto"/>
        <w:jc w:val="both"/>
        <w:rPr>
          <w:rFonts w:cs="Arial"/>
          <w:color w:val="20242B"/>
          <w:sz w:val="20"/>
          <w:szCs w:val="20"/>
          <w:shd w:val="clear" w:color="auto" w:fill="FFFFFF"/>
          <w:lang w:val="cs-CZ" w:eastAsia="cs-CZ"/>
        </w:rPr>
      </w:pPr>
      <w:r>
        <w:rPr>
          <w:rFonts w:cs="Arial"/>
          <w:b/>
          <w:bCs/>
          <w:color w:val="20242B"/>
          <w:sz w:val="20"/>
          <w:szCs w:val="20"/>
          <w:shd w:val="clear" w:color="auto" w:fill="FFFFFF"/>
          <w:lang w:val="cs-CZ" w:eastAsia="cs-CZ"/>
        </w:rPr>
        <w:lastRenderedPageBreak/>
        <w:t>Zachycení faktorů ovlivňujících výnosnost jednotlivých akcií</w:t>
      </w:r>
    </w:p>
    <w:p w14:paraId="4923C8E2" w14:textId="77777777" w:rsidR="00B64E8C" w:rsidRPr="00501EC6" w:rsidRDefault="00B64E8C" w:rsidP="00B64E8C">
      <w:r>
        <w:t>Párová korelace měří, jak se akcie pohybují ve vzájemném vztahu. Vyšší korelace znamená, že akcie jsou pravděpodobně ovlivňovány stejnými makroekonomickými faktory, a nižší korelace naznačuje opak. Jak ukazuje obrázek 5, párové korelace akcií na hlavních trzích, jako je STOXXX 600 a S&amp;P 500, se stále pohybují blízko, což signalizuje, že širší tržní faktory hrají menší roli ve výkonnosti jednotlivých akcií.</w:t>
      </w:r>
    </w:p>
    <w:p w14:paraId="03B420B0" w14:textId="6E238483" w:rsidR="006C3B12" w:rsidRPr="00794013" w:rsidRDefault="00794013" w:rsidP="00794013">
      <w:pPr>
        <w:pStyle w:val="FIL3Body"/>
        <w:spacing w:before="120" w:line="360" w:lineRule="auto"/>
        <w:jc w:val="both"/>
        <w:rPr>
          <w:rFonts w:cs="Arial"/>
          <w:color w:val="20242B"/>
          <w:sz w:val="20"/>
          <w:szCs w:val="20"/>
          <w:shd w:val="clear" w:color="auto" w:fill="FFFFFF"/>
          <w:lang w:val="cs-CZ" w:eastAsia="cs-CZ"/>
        </w:rPr>
      </w:pPr>
      <w:r>
        <w:rPr>
          <w:rFonts w:cs="Arial"/>
          <w:b/>
          <w:bCs/>
          <w:color w:val="20242B"/>
          <w:sz w:val="20"/>
          <w:szCs w:val="20"/>
          <w:shd w:val="clear" w:color="auto" w:fill="FFFFFF"/>
          <w:lang w:val="cs-CZ" w:eastAsia="cs-CZ"/>
        </w:rPr>
        <w:br/>
        <w:t xml:space="preserve">Obrázek </w:t>
      </w:r>
      <w:r w:rsidR="00B64E8C">
        <w:rPr>
          <w:rFonts w:cs="Arial"/>
          <w:b/>
          <w:bCs/>
          <w:color w:val="20242B"/>
          <w:sz w:val="20"/>
          <w:szCs w:val="20"/>
          <w:shd w:val="clear" w:color="auto" w:fill="FFFFFF"/>
          <w:lang w:val="cs-CZ" w:eastAsia="cs-CZ"/>
        </w:rPr>
        <w:t>5</w:t>
      </w:r>
      <w:r>
        <w:rPr>
          <w:rFonts w:cs="Arial"/>
          <w:b/>
          <w:bCs/>
          <w:color w:val="20242B"/>
          <w:sz w:val="20"/>
          <w:szCs w:val="20"/>
          <w:shd w:val="clear" w:color="auto" w:fill="FFFFFF"/>
          <w:lang w:val="cs-CZ" w:eastAsia="cs-CZ"/>
        </w:rPr>
        <w:t xml:space="preserve">: </w:t>
      </w:r>
      <w:r w:rsidR="00B64E8C">
        <w:rPr>
          <w:rFonts w:cs="Arial"/>
          <w:b/>
          <w:bCs/>
          <w:color w:val="20242B"/>
          <w:sz w:val="20"/>
          <w:szCs w:val="20"/>
          <w:shd w:val="clear" w:color="auto" w:fill="FFFFFF"/>
          <w:lang w:val="cs-CZ" w:eastAsia="cs-CZ"/>
        </w:rPr>
        <w:t>Šestiměsíční průměrná párová korelace</w:t>
      </w:r>
    </w:p>
    <w:p w14:paraId="752811FF" w14:textId="0F0B9727" w:rsidR="001D4CF8" w:rsidRPr="001D4CF8" w:rsidRDefault="00B64E8C" w:rsidP="00794013">
      <w:pPr>
        <w:pStyle w:val="F2-zkladn"/>
        <w:spacing w:line="360" w:lineRule="auto"/>
      </w:pPr>
      <w:r w:rsidRPr="00501EC6">
        <w:rPr>
          <w:b/>
          <w:bCs/>
          <w:noProof/>
        </w:rPr>
        <w:drawing>
          <wp:inline distT="0" distB="0" distL="0" distR="0" wp14:anchorId="7C12B3A0" wp14:editId="170AA93F">
            <wp:extent cx="5759450" cy="2618163"/>
            <wp:effectExtent l="0" t="0" r="0" b="0"/>
            <wp:docPr id="693739617" name="Obrázek 6" descr="case-equity-market-neutral-char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ase-equity-market-neutral-chart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2618163"/>
                    </a:xfrm>
                    <a:prstGeom prst="rect">
                      <a:avLst/>
                    </a:prstGeom>
                    <a:noFill/>
                    <a:ln>
                      <a:noFill/>
                    </a:ln>
                  </pic:spPr>
                </pic:pic>
              </a:graphicData>
            </a:graphic>
          </wp:inline>
        </w:drawing>
      </w:r>
    </w:p>
    <w:p w14:paraId="6272CC5C" w14:textId="62BEAA84" w:rsidR="00043963" w:rsidRPr="00B64E8C" w:rsidRDefault="00043963" w:rsidP="00B64E8C">
      <w:pPr>
        <w:pStyle w:val="FIL3Body"/>
        <w:jc w:val="right"/>
        <w:rPr>
          <w:rFonts w:cs="Arial"/>
          <w:color w:val="auto"/>
          <w:sz w:val="16"/>
          <w:szCs w:val="16"/>
          <w:lang w:val="cs-CZ" w:eastAsia="cs-CZ"/>
        </w:rPr>
      </w:pPr>
      <w:r w:rsidRPr="00043963">
        <w:rPr>
          <w:rFonts w:cs="Arial"/>
          <w:color w:val="auto"/>
          <w:sz w:val="16"/>
          <w:szCs w:val="16"/>
          <w:lang w:val="cs-CZ" w:eastAsia="cs-CZ"/>
        </w:rPr>
        <w:t xml:space="preserve">Zdroj: </w:t>
      </w:r>
      <w:r w:rsidR="00B64E8C" w:rsidRPr="00B64E8C">
        <w:rPr>
          <w:rFonts w:cs="Arial"/>
          <w:color w:val="auto"/>
          <w:sz w:val="16"/>
          <w:szCs w:val="16"/>
          <w:lang w:val="cs-CZ" w:eastAsia="cs-CZ"/>
        </w:rPr>
        <w:t>Bloomberg, Goldman Sachs Global Investment Research, Data od 2.ledna 2004 do 6. září 2024.</w:t>
      </w:r>
    </w:p>
    <w:p w14:paraId="5EBEDB39" w14:textId="77777777" w:rsidR="00B64E8C" w:rsidRPr="00B64E8C" w:rsidRDefault="00B64E8C" w:rsidP="00B64E8C">
      <w:pPr>
        <w:rPr>
          <w:color w:val="20242B"/>
          <w:shd w:val="clear" w:color="auto" w:fill="FFFFFF"/>
        </w:rPr>
      </w:pPr>
      <w:r w:rsidRPr="00B64E8C">
        <w:rPr>
          <w:color w:val="20242B"/>
          <w:shd w:val="clear" w:color="auto" w:fill="FFFFFF"/>
        </w:rPr>
        <w:t>Divergence přitom otevírá více příležitostí pro aktivní hráče na trhu s akciemi, protože akcie budou spíše reagovat na konkrétní fundamenty, než aby se pohybovaly v souladu s širším trhem. Přístup absolutní návratnosti společnosti Fidelity může využít malých souběžných pohybů mezi akciemi tím, že využije různých sekcí trhu.</w:t>
      </w:r>
    </w:p>
    <w:p w14:paraId="1916E936" w14:textId="03E521B4" w:rsidR="001D4CF8" w:rsidRDefault="00B64E8C" w:rsidP="00B64E8C">
      <w:pPr>
        <w:rPr>
          <w:color w:val="20242B"/>
          <w:shd w:val="clear" w:color="auto" w:fill="FFFFFF"/>
        </w:rPr>
      </w:pPr>
      <w:r w:rsidRPr="00B64E8C">
        <w:rPr>
          <w:color w:val="20242B"/>
          <w:shd w:val="clear" w:color="auto" w:fill="FFFFFF"/>
        </w:rPr>
        <w:t>V investičním prostředí, které se vyznačuje zvýšenou makroekonomickou nejistotou, vyššími valuacemi a měnícími se korelacemi mezi akciemi, mohou být strategie EMN možností, jak získat expozici u akcií, aniž by bylo nutné reagovat na prudkou volatilitu akciového trhu, jak jsme toho byli svědky v posledních měsících. Závěrem lze říct, že investiční přístup „v každém počasí“, jakým je například strategie Fidelity pro akcie s absolutní návratností, může investorům pomoci těžit z potenciálu výnosů akciového trhu v dlouhodobém horizontu s nižším rizikem, a to bez ohledu na krátkodobé pohyby nebo náladu na trhu. Diverzifikační potenciál této strategie a nízká korelace s ostatními třídami aktiv jsou navíc vhodné pro ty investory, kteří se snaží vylepšit svou efektivní hranici.</w:t>
      </w:r>
    </w:p>
    <w:p w14:paraId="320D6AB6" w14:textId="77777777" w:rsidR="00B64E8C" w:rsidRDefault="00B64E8C" w:rsidP="00B64E8C">
      <w:pPr>
        <w:pStyle w:val="F2-zkladn"/>
      </w:pPr>
    </w:p>
    <w:p w14:paraId="35D8B4CF" w14:textId="77777777" w:rsidR="00B64E8C" w:rsidRDefault="00B64E8C" w:rsidP="00B64E8C">
      <w:pPr>
        <w:pStyle w:val="F2-zkladn"/>
      </w:pPr>
    </w:p>
    <w:p w14:paraId="0A9525AA" w14:textId="77777777" w:rsidR="00B64E8C" w:rsidRDefault="00B64E8C" w:rsidP="00B64E8C">
      <w:pPr>
        <w:pStyle w:val="F2-zkladn"/>
      </w:pPr>
    </w:p>
    <w:p w14:paraId="2B323CC5" w14:textId="77777777" w:rsidR="00B64E8C" w:rsidRPr="00B64E8C" w:rsidRDefault="00B64E8C" w:rsidP="00B64E8C">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r>
        <w:t>gsm: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7"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lastRenderedPageBreak/>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3B8D811A" w:rsidR="00D20058" w:rsidRDefault="00A11502" w:rsidP="00DF76B9">
      <w:pPr>
        <w:pStyle w:val="F2-zkladn"/>
      </w:pPr>
      <w:r w:rsidRPr="00A11502">
        <w:rPr>
          <w:lang w:val="de-AT"/>
        </w:rPr>
        <w:t>MKAT12591</w:t>
      </w:r>
    </w:p>
    <w:sectPr w:rsidR="00D20058" w:rsidSect="00F50497">
      <w:headerReference w:type="default" r:id="rId18"/>
      <w:footerReference w:type="default" r:id="rId19"/>
      <w:headerReference w:type="first" r:id="rId20"/>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8D055" w14:textId="77777777" w:rsidR="00A97F60" w:rsidRDefault="00A97F60">
      <w:r>
        <w:separator/>
      </w:r>
    </w:p>
  </w:endnote>
  <w:endnote w:type="continuationSeparator" w:id="0">
    <w:p w14:paraId="054C24E6" w14:textId="77777777" w:rsidR="00A97F60" w:rsidRDefault="00A9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AA3D6" w14:textId="77777777" w:rsidR="00A97F60" w:rsidRDefault="00A97F60">
      <w:r>
        <w:separator/>
      </w:r>
    </w:p>
  </w:footnote>
  <w:footnote w:type="continuationSeparator" w:id="0">
    <w:p w14:paraId="121CE886" w14:textId="77777777" w:rsidR="00A97F60" w:rsidRDefault="00A97F60">
      <w:r>
        <w:continuationSeparator/>
      </w:r>
    </w:p>
  </w:footnote>
  <w:footnote w:type="continuationNotice" w:id="1">
    <w:p w14:paraId="7F6B74BF" w14:textId="77777777" w:rsidR="00A97F60" w:rsidRDefault="00A97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51CE"/>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0A09"/>
    <w:rsid w:val="008014EC"/>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eliska.krohova@crestcom.cz"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Sheet1!$Q$4</c:f>
              <c:strCache>
                <c:ptCount val="1"/>
                <c:pt idx="0">
                  <c:v>Mid Price</c:v>
                </c:pt>
              </c:strCache>
            </c:strRef>
          </c:tx>
          <c:spPr>
            <a:ln w="28575" cap="rnd">
              <a:solidFill>
                <a:schemeClr val="accent1"/>
              </a:solidFill>
              <a:round/>
            </a:ln>
            <a:effectLst/>
          </c:spPr>
          <c:marker>
            <c:symbol val="none"/>
          </c:marker>
          <c:cat>
            <c:numRef>
              <c:f>Sheet1!$P$5:$P$183</c:f>
              <c:numCache>
                <c:formatCode>m/d/yyyy</c:formatCode>
                <c:ptCount val="179"/>
                <c:pt idx="0">
                  <c:v>45535</c:v>
                </c:pt>
                <c:pt idx="1">
                  <c:v>45504</c:v>
                </c:pt>
                <c:pt idx="2">
                  <c:v>45473</c:v>
                </c:pt>
                <c:pt idx="3">
                  <c:v>45443</c:v>
                </c:pt>
                <c:pt idx="4">
                  <c:v>45412</c:v>
                </c:pt>
                <c:pt idx="5">
                  <c:v>45382</c:v>
                </c:pt>
                <c:pt idx="6">
                  <c:v>45351</c:v>
                </c:pt>
                <c:pt idx="7">
                  <c:v>45322</c:v>
                </c:pt>
                <c:pt idx="8">
                  <c:v>45291</c:v>
                </c:pt>
                <c:pt idx="9">
                  <c:v>45260</c:v>
                </c:pt>
                <c:pt idx="10">
                  <c:v>45230</c:v>
                </c:pt>
                <c:pt idx="11">
                  <c:v>45199</c:v>
                </c:pt>
                <c:pt idx="12">
                  <c:v>45169</c:v>
                </c:pt>
                <c:pt idx="13">
                  <c:v>45138</c:v>
                </c:pt>
                <c:pt idx="14">
                  <c:v>45107</c:v>
                </c:pt>
                <c:pt idx="15">
                  <c:v>45077</c:v>
                </c:pt>
                <c:pt idx="16">
                  <c:v>45046</c:v>
                </c:pt>
                <c:pt idx="17">
                  <c:v>45016</c:v>
                </c:pt>
                <c:pt idx="18">
                  <c:v>44985</c:v>
                </c:pt>
                <c:pt idx="19">
                  <c:v>44957</c:v>
                </c:pt>
                <c:pt idx="20">
                  <c:v>44926</c:v>
                </c:pt>
                <c:pt idx="21">
                  <c:v>44895</c:v>
                </c:pt>
                <c:pt idx="22">
                  <c:v>44865</c:v>
                </c:pt>
                <c:pt idx="23">
                  <c:v>44834</c:v>
                </c:pt>
                <c:pt idx="24">
                  <c:v>44804</c:v>
                </c:pt>
                <c:pt idx="25">
                  <c:v>44773</c:v>
                </c:pt>
                <c:pt idx="26">
                  <c:v>44742</c:v>
                </c:pt>
                <c:pt idx="27">
                  <c:v>44712</c:v>
                </c:pt>
                <c:pt idx="28">
                  <c:v>44681</c:v>
                </c:pt>
                <c:pt idx="29">
                  <c:v>44651</c:v>
                </c:pt>
                <c:pt idx="30">
                  <c:v>44620</c:v>
                </c:pt>
                <c:pt idx="31">
                  <c:v>44592</c:v>
                </c:pt>
                <c:pt idx="32">
                  <c:v>44561</c:v>
                </c:pt>
                <c:pt idx="33">
                  <c:v>44530</c:v>
                </c:pt>
                <c:pt idx="34">
                  <c:v>44500</c:v>
                </c:pt>
                <c:pt idx="35">
                  <c:v>44469</c:v>
                </c:pt>
                <c:pt idx="36">
                  <c:v>44439</c:v>
                </c:pt>
                <c:pt idx="37">
                  <c:v>44408</c:v>
                </c:pt>
                <c:pt idx="38">
                  <c:v>44377</c:v>
                </c:pt>
                <c:pt idx="39">
                  <c:v>44347</c:v>
                </c:pt>
                <c:pt idx="40">
                  <c:v>44316</c:v>
                </c:pt>
                <c:pt idx="41">
                  <c:v>44286</c:v>
                </c:pt>
                <c:pt idx="42">
                  <c:v>44255</c:v>
                </c:pt>
                <c:pt idx="43">
                  <c:v>44227</c:v>
                </c:pt>
                <c:pt idx="44">
                  <c:v>44196</c:v>
                </c:pt>
                <c:pt idx="45">
                  <c:v>44165</c:v>
                </c:pt>
                <c:pt idx="46">
                  <c:v>44135</c:v>
                </c:pt>
                <c:pt idx="47">
                  <c:v>44104</c:v>
                </c:pt>
                <c:pt idx="48">
                  <c:v>44074</c:v>
                </c:pt>
                <c:pt idx="49">
                  <c:v>44043</c:v>
                </c:pt>
                <c:pt idx="50">
                  <c:v>44012</c:v>
                </c:pt>
                <c:pt idx="51">
                  <c:v>43982</c:v>
                </c:pt>
                <c:pt idx="52">
                  <c:v>43951</c:v>
                </c:pt>
                <c:pt idx="53">
                  <c:v>43921</c:v>
                </c:pt>
                <c:pt idx="54">
                  <c:v>43890</c:v>
                </c:pt>
                <c:pt idx="55">
                  <c:v>43861</c:v>
                </c:pt>
                <c:pt idx="56">
                  <c:v>43830</c:v>
                </c:pt>
                <c:pt idx="57">
                  <c:v>43799</c:v>
                </c:pt>
                <c:pt idx="58">
                  <c:v>43769</c:v>
                </c:pt>
                <c:pt idx="59">
                  <c:v>43738</c:v>
                </c:pt>
                <c:pt idx="60">
                  <c:v>43708</c:v>
                </c:pt>
                <c:pt idx="61">
                  <c:v>43677</c:v>
                </c:pt>
                <c:pt idx="62">
                  <c:v>43646</c:v>
                </c:pt>
                <c:pt idx="63">
                  <c:v>43616</c:v>
                </c:pt>
                <c:pt idx="64">
                  <c:v>43585</c:v>
                </c:pt>
                <c:pt idx="65">
                  <c:v>43555</c:v>
                </c:pt>
                <c:pt idx="66">
                  <c:v>43524</c:v>
                </c:pt>
                <c:pt idx="67">
                  <c:v>43496</c:v>
                </c:pt>
                <c:pt idx="68">
                  <c:v>43465</c:v>
                </c:pt>
                <c:pt idx="69">
                  <c:v>43434</c:v>
                </c:pt>
                <c:pt idx="70">
                  <c:v>43404</c:v>
                </c:pt>
                <c:pt idx="71">
                  <c:v>43373</c:v>
                </c:pt>
                <c:pt idx="72">
                  <c:v>43343</c:v>
                </c:pt>
                <c:pt idx="73">
                  <c:v>43312</c:v>
                </c:pt>
                <c:pt idx="74">
                  <c:v>43281</c:v>
                </c:pt>
                <c:pt idx="75">
                  <c:v>43251</c:v>
                </c:pt>
                <c:pt idx="76">
                  <c:v>43220</c:v>
                </c:pt>
                <c:pt idx="77">
                  <c:v>43190</c:v>
                </c:pt>
                <c:pt idx="78">
                  <c:v>43159</c:v>
                </c:pt>
                <c:pt idx="79">
                  <c:v>43131</c:v>
                </c:pt>
                <c:pt idx="80">
                  <c:v>43100</c:v>
                </c:pt>
                <c:pt idx="81">
                  <c:v>43069</c:v>
                </c:pt>
                <c:pt idx="82">
                  <c:v>43039</c:v>
                </c:pt>
                <c:pt idx="83">
                  <c:v>43008</c:v>
                </c:pt>
                <c:pt idx="84">
                  <c:v>42978</c:v>
                </c:pt>
                <c:pt idx="85">
                  <c:v>42947</c:v>
                </c:pt>
                <c:pt idx="86">
                  <c:v>42916</c:v>
                </c:pt>
                <c:pt idx="87">
                  <c:v>42886</c:v>
                </c:pt>
                <c:pt idx="88">
                  <c:v>42855</c:v>
                </c:pt>
                <c:pt idx="89">
                  <c:v>42825</c:v>
                </c:pt>
                <c:pt idx="90">
                  <c:v>42794</c:v>
                </c:pt>
                <c:pt idx="91">
                  <c:v>42766</c:v>
                </c:pt>
                <c:pt idx="92">
                  <c:v>42735</c:v>
                </c:pt>
                <c:pt idx="93">
                  <c:v>42704</c:v>
                </c:pt>
                <c:pt idx="94">
                  <c:v>42674</c:v>
                </c:pt>
                <c:pt idx="95">
                  <c:v>42643</c:v>
                </c:pt>
                <c:pt idx="96">
                  <c:v>42613</c:v>
                </c:pt>
                <c:pt idx="97">
                  <c:v>42582</c:v>
                </c:pt>
                <c:pt idx="98">
                  <c:v>42551</c:v>
                </c:pt>
                <c:pt idx="99">
                  <c:v>42521</c:v>
                </c:pt>
                <c:pt idx="100">
                  <c:v>42490</c:v>
                </c:pt>
                <c:pt idx="101">
                  <c:v>42460</c:v>
                </c:pt>
                <c:pt idx="102">
                  <c:v>42429</c:v>
                </c:pt>
                <c:pt idx="103">
                  <c:v>42400</c:v>
                </c:pt>
                <c:pt idx="104">
                  <c:v>42369</c:v>
                </c:pt>
                <c:pt idx="105">
                  <c:v>42338</c:v>
                </c:pt>
                <c:pt idx="106">
                  <c:v>42308</c:v>
                </c:pt>
                <c:pt idx="107">
                  <c:v>42277</c:v>
                </c:pt>
                <c:pt idx="108">
                  <c:v>42247</c:v>
                </c:pt>
                <c:pt idx="109">
                  <c:v>42216</c:v>
                </c:pt>
                <c:pt idx="110">
                  <c:v>42185</c:v>
                </c:pt>
                <c:pt idx="111">
                  <c:v>42155</c:v>
                </c:pt>
                <c:pt idx="112">
                  <c:v>42124</c:v>
                </c:pt>
                <c:pt idx="113">
                  <c:v>42094</c:v>
                </c:pt>
                <c:pt idx="114">
                  <c:v>42063</c:v>
                </c:pt>
                <c:pt idx="115">
                  <c:v>42035</c:v>
                </c:pt>
                <c:pt idx="116">
                  <c:v>42004</c:v>
                </c:pt>
                <c:pt idx="117">
                  <c:v>41973</c:v>
                </c:pt>
                <c:pt idx="118">
                  <c:v>41943</c:v>
                </c:pt>
                <c:pt idx="119">
                  <c:v>41912</c:v>
                </c:pt>
                <c:pt idx="120">
                  <c:v>41882</c:v>
                </c:pt>
                <c:pt idx="121">
                  <c:v>41851</c:v>
                </c:pt>
                <c:pt idx="122">
                  <c:v>41820</c:v>
                </c:pt>
                <c:pt idx="123">
                  <c:v>41790</c:v>
                </c:pt>
                <c:pt idx="124">
                  <c:v>41759</c:v>
                </c:pt>
                <c:pt idx="125">
                  <c:v>41729</c:v>
                </c:pt>
                <c:pt idx="126">
                  <c:v>41698</c:v>
                </c:pt>
                <c:pt idx="127">
                  <c:v>41670</c:v>
                </c:pt>
                <c:pt idx="128">
                  <c:v>41639</c:v>
                </c:pt>
                <c:pt idx="129">
                  <c:v>41608</c:v>
                </c:pt>
                <c:pt idx="130">
                  <c:v>41578</c:v>
                </c:pt>
                <c:pt idx="131">
                  <c:v>41547</c:v>
                </c:pt>
                <c:pt idx="132">
                  <c:v>41517</c:v>
                </c:pt>
                <c:pt idx="133">
                  <c:v>41486</c:v>
                </c:pt>
                <c:pt idx="134">
                  <c:v>41455</c:v>
                </c:pt>
                <c:pt idx="135">
                  <c:v>41425</c:v>
                </c:pt>
                <c:pt idx="136">
                  <c:v>41394</c:v>
                </c:pt>
                <c:pt idx="137">
                  <c:v>41364</c:v>
                </c:pt>
                <c:pt idx="138">
                  <c:v>41333</c:v>
                </c:pt>
                <c:pt idx="139">
                  <c:v>41305</c:v>
                </c:pt>
                <c:pt idx="140">
                  <c:v>41274</c:v>
                </c:pt>
                <c:pt idx="141">
                  <c:v>41243</c:v>
                </c:pt>
                <c:pt idx="142">
                  <c:v>41213</c:v>
                </c:pt>
                <c:pt idx="143">
                  <c:v>41182</c:v>
                </c:pt>
                <c:pt idx="144">
                  <c:v>41152</c:v>
                </c:pt>
                <c:pt idx="145">
                  <c:v>41121</c:v>
                </c:pt>
                <c:pt idx="146">
                  <c:v>41090</c:v>
                </c:pt>
                <c:pt idx="147">
                  <c:v>41060</c:v>
                </c:pt>
                <c:pt idx="148">
                  <c:v>41029</c:v>
                </c:pt>
                <c:pt idx="149">
                  <c:v>40999</c:v>
                </c:pt>
                <c:pt idx="150">
                  <c:v>40968</c:v>
                </c:pt>
                <c:pt idx="151">
                  <c:v>40939</c:v>
                </c:pt>
                <c:pt idx="152">
                  <c:v>40908</c:v>
                </c:pt>
                <c:pt idx="153">
                  <c:v>40877</c:v>
                </c:pt>
                <c:pt idx="154">
                  <c:v>40847</c:v>
                </c:pt>
                <c:pt idx="155">
                  <c:v>40816</c:v>
                </c:pt>
                <c:pt idx="156">
                  <c:v>40786</c:v>
                </c:pt>
                <c:pt idx="157">
                  <c:v>40755</c:v>
                </c:pt>
                <c:pt idx="158">
                  <c:v>40724</c:v>
                </c:pt>
                <c:pt idx="159">
                  <c:v>40694</c:v>
                </c:pt>
                <c:pt idx="160">
                  <c:v>40663</c:v>
                </c:pt>
                <c:pt idx="161">
                  <c:v>40633</c:v>
                </c:pt>
                <c:pt idx="162">
                  <c:v>40602</c:v>
                </c:pt>
                <c:pt idx="163">
                  <c:v>40574</c:v>
                </c:pt>
                <c:pt idx="164">
                  <c:v>40543</c:v>
                </c:pt>
                <c:pt idx="165">
                  <c:v>40512</c:v>
                </c:pt>
                <c:pt idx="166">
                  <c:v>40482</c:v>
                </c:pt>
                <c:pt idx="167">
                  <c:v>40451</c:v>
                </c:pt>
                <c:pt idx="168">
                  <c:v>40421</c:v>
                </c:pt>
                <c:pt idx="169">
                  <c:v>40390</c:v>
                </c:pt>
                <c:pt idx="170">
                  <c:v>40359</c:v>
                </c:pt>
                <c:pt idx="171">
                  <c:v>40329</c:v>
                </c:pt>
                <c:pt idx="172">
                  <c:v>40298</c:v>
                </c:pt>
                <c:pt idx="173">
                  <c:v>40268</c:v>
                </c:pt>
                <c:pt idx="174">
                  <c:v>40237</c:v>
                </c:pt>
                <c:pt idx="175">
                  <c:v>40209</c:v>
                </c:pt>
                <c:pt idx="176">
                  <c:v>40178</c:v>
                </c:pt>
                <c:pt idx="177">
                  <c:v>40147</c:v>
                </c:pt>
                <c:pt idx="178">
                  <c:v>40117</c:v>
                </c:pt>
              </c:numCache>
            </c:numRef>
          </c:cat>
          <c:val>
            <c:numRef>
              <c:f>Sheet1!$Q$5:$Q$183</c:f>
              <c:numCache>
                <c:formatCode>General</c:formatCode>
                <c:ptCount val="179"/>
                <c:pt idx="0">
                  <c:v>9500</c:v>
                </c:pt>
                <c:pt idx="1">
                  <c:v>7830</c:v>
                </c:pt>
                <c:pt idx="2">
                  <c:v>8740</c:v>
                </c:pt>
                <c:pt idx="3">
                  <c:v>9630</c:v>
                </c:pt>
                <c:pt idx="4">
                  <c:v>9220</c:v>
                </c:pt>
                <c:pt idx="5">
                  <c:v>9890</c:v>
                </c:pt>
                <c:pt idx="6">
                  <c:v>7170</c:v>
                </c:pt>
                <c:pt idx="7">
                  <c:v>8740</c:v>
                </c:pt>
                <c:pt idx="8">
                  <c:v>7730</c:v>
                </c:pt>
                <c:pt idx="9">
                  <c:v>8010</c:v>
                </c:pt>
                <c:pt idx="10">
                  <c:v>7940</c:v>
                </c:pt>
                <c:pt idx="11">
                  <c:v>8060</c:v>
                </c:pt>
                <c:pt idx="12">
                  <c:v>8280</c:v>
                </c:pt>
                <c:pt idx="13">
                  <c:v>7310</c:v>
                </c:pt>
                <c:pt idx="14">
                  <c:v>7510</c:v>
                </c:pt>
                <c:pt idx="15">
                  <c:v>8360</c:v>
                </c:pt>
                <c:pt idx="16">
                  <c:v>7930</c:v>
                </c:pt>
                <c:pt idx="17">
                  <c:v>7890</c:v>
                </c:pt>
                <c:pt idx="18">
                  <c:v>6160</c:v>
                </c:pt>
                <c:pt idx="19">
                  <c:v>6030</c:v>
                </c:pt>
                <c:pt idx="20">
                  <c:v>5400</c:v>
                </c:pt>
                <c:pt idx="21">
                  <c:v>5590</c:v>
                </c:pt>
                <c:pt idx="22">
                  <c:v>5180</c:v>
                </c:pt>
                <c:pt idx="23">
                  <c:v>4980</c:v>
                </c:pt>
                <c:pt idx="24">
                  <c:v>6150</c:v>
                </c:pt>
                <c:pt idx="25">
                  <c:v>6670</c:v>
                </c:pt>
                <c:pt idx="26">
                  <c:v>7560</c:v>
                </c:pt>
                <c:pt idx="27">
                  <c:v>7760</c:v>
                </c:pt>
                <c:pt idx="28">
                  <c:v>4980</c:v>
                </c:pt>
                <c:pt idx="29">
                  <c:v>4940</c:v>
                </c:pt>
                <c:pt idx="30">
                  <c:v>3620</c:v>
                </c:pt>
                <c:pt idx="31">
                  <c:v>4610</c:v>
                </c:pt>
                <c:pt idx="32">
                  <c:v>5030</c:v>
                </c:pt>
                <c:pt idx="33">
                  <c:v>4360</c:v>
                </c:pt>
                <c:pt idx="34">
                  <c:v>4500</c:v>
                </c:pt>
                <c:pt idx="35">
                  <c:v>4920</c:v>
                </c:pt>
                <c:pt idx="36">
                  <c:v>5050</c:v>
                </c:pt>
                <c:pt idx="37">
                  <c:v>5670</c:v>
                </c:pt>
                <c:pt idx="38">
                  <c:v>6460</c:v>
                </c:pt>
                <c:pt idx="39">
                  <c:v>5270</c:v>
                </c:pt>
                <c:pt idx="40">
                  <c:v>7970</c:v>
                </c:pt>
                <c:pt idx="41">
                  <c:v>7540</c:v>
                </c:pt>
                <c:pt idx="42">
                  <c:v>4900</c:v>
                </c:pt>
                <c:pt idx="43">
                  <c:v>5240</c:v>
                </c:pt>
                <c:pt idx="44">
                  <c:v>4850</c:v>
                </c:pt>
                <c:pt idx="45">
                  <c:v>4400</c:v>
                </c:pt>
                <c:pt idx="46">
                  <c:v>4040</c:v>
                </c:pt>
                <c:pt idx="47">
                  <c:v>3830</c:v>
                </c:pt>
                <c:pt idx="48">
                  <c:v>3680</c:v>
                </c:pt>
                <c:pt idx="49">
                  <c:v>4180</c:v>
                </c:pt>
                <c:pt idx="50">
                  <c:v>3700</c:v>
                </c:pt>
                <c:pt idx="51">
                  <c:v>4400</c:v>
                </c:pt>
                <c:pt idx="52">
                  <c:v>6320</c:v>
                </c:pt>
                <c:pt idx="53">
                  <c:v>6480</c:v>
                </c:pt>
                <c:pt idx="54">
                  <c:v>3440</c:v>
                </c:pt>
                <c:pt idx="55">
                  <c:v>4360</c:v>
                </c:pt>
                <c:pt idx="56">
                  <c:v>4680</c:v>
                </c:pt>
                <c:pt idx="57">
                  <c:v>4570</c:v>
                </c:pt>
                <c:pt idx="58">
                  <c:v>4782</c:v>
                </c:pt>
                <c:pt idx="59">
                  <c:v>5330</c:v>
                </c:pt>
                <c:pt idx="60">
                  <c:v>5010</c:v>
                </c:pt>
                <c:pt idx="61">
                  <c:v>5570</c:v>
                </c:pt>
                <c:pt idx="62">
                  <c:v>5306</c:v>
                </c:pt>
                <c:pt idx="63">
                  <c:v>5743</c:v>
                </c:pt>
                <c:pt idx="64">
                  <c:v>6330</c:v>
                </c:pt>
                <c:pt idx="65">
                  <c:v>6330</c:v>
                </c:pt>
                <c:pt idx="66">
                  <c:v>4510</c:v>
                </c:pt>
                <c:pt idx="67">
                  <c:v>6190</c:v>
                </c:pt>
                <c:pt idx="68">
                  <c:v>5560</c:v>
                </c:pt>
                <c:pt idx="69">
                  <c:v>5320</c:v>
                </c:pt>
                <c:pt idx="70">
                  <c:v>5500</c:v>
                </c:pt>
                <c:pt idx="71">
                  <c:v>5950</c:v>
                </c:pt>
                <c:pt idx="72">
                  <c:v>5880</c:v>
                </c:pt>
                <c:pt idx="73">
                  <c:v>5890</c:v>
                </c:pt>
                <c:pt idx="74">
                  <c:v>6940</c:v>
                </c:pt>
                <c:pt idx="75">
                  <c:v>6880</c:v>
                </c:pt>
                <c:pt idx="76">
                  <c:v>6480</c:v>
                </c:pt>
                <c:pt idx="77">
                  <c:v>5650</c:v>
                </c:pt>
                <c:pt idx="78">
                  <c:v>4850</c:v>
                </c:pt>
                <c:pt idx="79">
                  <c:v>4650</c:v>
                </c:pt>
                <c:pt idx="80">
                  <c:v>5670</c:v>
                </c:pt>
                <c:pt idx="81">
                  <c:v>5350</c:v>
                </c:pt>
                <c:pt idx="82">
                  <c:v>4980</c:v>
                </c:pt>
                <c:pt idx="83">
                  <c:v>5140</c:v>
                </c:pt>
                <c:pt idx="84">
                  <c:v>6520</c:v>
                </c:pt>
                <c:pt idx="85">
                  <c:v>6960</c:v>
                </c:pt>
                <c:pt idx="86">
                  <c:v>6810</c:v>
                </c:pt>
                <c:pt idx="87">
                  <c:v>6980</c:v>
                </c:pt>
                <c:pt idx="88">
                  <c:v>6490</c:v>
                </c:pt>
                <c:pt idx="89">
                  <c:v>7560</c:v>
                </c:pt>
                <c:pt idx="90">
                  <c:v>5750</c:v>
                </c:pt>
                <c:pt idx="91">
                  <c:v>7420</c:v>
                </c:pt>
                <c:pt idx="92">
                  <c:v>7800</c:v>
                </c:pt>
                <c:pt idx="93">
                  <c:v>8120</c:v>
                </c:pt>
                <c:pt idx="94">
                  <c:v>7690</c:v>
                </c:pt>
                <c:pt idx="95">
                  <c:v>8800</c:v>
                </c:pt>
                <c:pt idx="96">
                  <c:v>9010</c:v>
                </c:pt>
                <c:pt idx="97">
                  <c:v>10300</c:v>
                </c:pt>
                <c:pt idx="98">
                  <c:v>10940</c:v>
                </c:pt>
                <c:pt idx="99">
                  <c:v>9420</c:v>
                </c:pt>
                <c:pt idx="100">
                  <c:v>9080</c:v>
                </c:pt>
                <c:pt idx="101">
                  <c:v>9980</c:v>
                </c:pt>
                <c:pt idx="102">
                  <c:v>8110</c:v>
                </c:pt>
                <c:pt idx="103">
                  <c:v>9740</c:v>
                </c:pt>
                <c:pt idx="104">
                  <c:v>10654.86</c:v>
                </c:pt>
                <c:pt idx="105">
                  <c:v>9608.6200000000008</c:v>
                </c:pt>
                <c:pt idx="106">
                  <c:v>9023.77</c:v>
                </c:pt>
                <c:pt idx="107">
                  <c:v>11248.49</c:v>
                </c:pt>
                <c:pt idx="108">
                  <c:v>9732.9500000000007</c:v>
                </c:pt>
                <c:pt idx="109">
                  <c:v>9731.09</c:v>
                </c:pt>
                <c:pt idx="110">
                  <c:v>8885.4500000000007</c:v>
                </c:pt>
                <c:pt idx="111">
                  <c:v>9204.41</c:v>
                </c:pt>
                <c:pt idx="112">
                  <c:v>8535.65</c:v>
                </c:pt>
                <c:pt idx="113">
                  <c:v>7696.67</c:v>
                </c:pt>
                <c:pt idx="114">
                  <c:v>7795.38</c:v>
                </c:pt>
                <c:pt idx="115">
                  <c:v>10287.549999999999</c:v>
                </c:pt>
                <c:pt idx="116">
                  <c:v>10170.549999999999</c:v>
                </c:pt>
                <c:pt idx="117">
                  <c:v>9719.5</c:v>
                </c:pt>
                <c:pt idx="118">
                  <c:v>8550.01</c:v>
                </c:pt>
                <c:pt idx="119">
                  <c:v>8515.9</c:v>
                </c:pt>
                <c:pt idx="120">
                  <c:v>7761.33</c:v>
                </c:pt>
                <c:pt idx="121">
                  <c:v>8058.3</c:v>
                </c:pt>
                <c:pt idx="122">
                  <c:v>7071.82</c:v>
                </c:pt>
                <c:pt idx="123">
                  <c:v>8071.43</c:v>
                </c:pt>
                <c:pt idx="124">
                  <c:v>7543.34</c:v>
                </c:pt>
                <c:pt idx="125">
                  <c:v>6758.72</c:v>
                </c:pt>
                <c:pt idx="126">
                  <c:v>4804.22</c:v>
                </c:pt>
                <c:pt idx="127">
                  <c:v>6765.08</c:v>
                </c:pt>
                <c:pt idx="128">
                  <c:v>5370</c:v>
                </c:pt>
                <c:pt idx="129">
                  <c:v>5000</c:v>
                </c:pt>
                <c:pt idx="130">
                  <c:v>5070</c:v>
                </c:pt>
                <c:pt idx="131">
                  <c:v>4920</c:v>
                </c:pt>
                <c:pt idx="132">
                  <c:v>6140</c:v>
                </c:pt>
                <c:pt idx="133">
                  <c:v>5150</c:v>
                </c:pt>
                <c:pt idx="134">
                  <c:v>5290</c:v>
                </c:pt>
                <c:pt idx="135">
                  <c:v>5410</c:v>
                </c:pt>
                <c:pt idx="136">
                  <c:v>5550</c:v>
                </c:pt>
                <c:pt idx="137">
                  <c:v>5280</c:v>
                </c:pt>
                <c:pt idx="138">
                  <c:v>4240</c:v>
                </c:pt>
                <c:pt idx="139">
                  <c:v>4920</c:v>
                </c:pt>
                <c:pt idx="140">
                  <c:v>4850</c:v>
                </c:pt>
                <c:pt idx="141">
                  <c:v>5130</c:v>
                </c:pt>
                <c:pt idx="142">
                  <c:v>4840</c:v>
                </c:pt>
                <c:pt idx="143">
                  <c:v>5150</c:v>
                </c:pt>
                <c:pt idx="144">
                  <c:v>4240</c:v>
                </c:pt>
                <c:pt idx="145">
                  <c:v>4320</c:v>
                </c:pt>
                <c:pt idx="146">
                  <c:v>5220</c:v>
                </c:pt>
                <c:pt idx="147">
                  <c:v>5230</c:v>
                </c:pt>
                <c:pt idx="148">
                  <c:v>4670</c:v>
                </c:pt>
                <c:pt idx="149">
                  <c:v>5030</c:v>
                </c:pt>
                <c:pt idx="150">
                  <c:v>3390</c:v>
                </c:pt>
                <c:pt idx="151">
                  <c:v>3730</c:v>
                </c:pt>
                <c:pt idx="152">
                  <c:v>3720</c:v>
                </c:pt>
                <c:pt idx="153">
                  <c:v>4200</c:v>
                </c:pt>
                <c:pt idx="154">
                  <c:v>3820</c:v>
                </c:pt>
                <c:pt idx="155">
                  <c:v>4210</c:v>
                </c:pt>
                <c:pt idx="156">
                  <c:v>4190</c:v>
                </c:pt>
                <c:pt idx="157">
                  <c:v>4440</c:v>
                </c:pt>
                <c:pt idx="158">
                  <c:v>4290</c:v>
                </c:pt>
                <c:pt idx="159">
                  <c:v>4760</c:v>
                </c:pt>
                <c:pt idx="160">
                  <c:v>4770</c:v>
                </c:pt>
                <c:pt idx="161">
                  <c:v>4910</c:v>
                </c:pt>
                <c:pt idx="162">
                  <c:v>2480</c:v>
                </c:pt>
                <c:pt idx="163">
                  <c:v>3120</c:v>
                </c:pt>
                <c:pt idx="164">
                  <c:v>2850</c:v>
                </c:pt>
                <c:pt idx="165">
                  <c:v>2910</c:v>
                </c:pt>
                <c:pt idx="166">
                  <c:v>2860</c:v>
                </c:pt>
                <c:pt idx="167">
                  <c:v>3010</c:v>
                </c:pt>
                <c:pt idx="168">
                  <c:v>2800</c:v>
                </c:pt>
                <c:pt idx="169">
                  <c:v>4550</c:v>
                </c:pt>
                <c:pt idx="170">
                  <c:v>5620</c:v>
                </c:pt>
                <c:pt idx="171">
                  <c:v>4940</c:v>
                </c:pt>
                <c:pt idx="172">
                  <c:v>4310</c:v>
                </c:pt>
                <c:pt idx="173">
                  <c:v>3330</c:v>
                </c:pt>
                <c:pt idx="174">
                  <c:v>2490</c:v>
                </c:pt>
                <c:pt idx="175">
                  <c:v>2890</c:v>
                </c:pt>
                <c:pt idx="176">
                  <c:v>3340</c:v>
                </c:pt>
                <c:pt idx="177">
                  <c:v>2850</c:v>
                </c:pt>
                <c:pt idx="178">
                  <c:v>2710</c:v>
                </c:pt>
              </c:numCache>
            </c:numRef>
          </c:val>
          <c:smooth val="0"/>
          <c:extLst>
            <c:ext xmlns:c16="http://schemas.microsoft.com/office/drawing/2014/chart" uri="{C3380CC4-5D6E-409C-BE32-E72D297353CC}">
              <c16:uniqueId val="{00000000-D305-481B-8CD3-0EC650686032}"/>
            </c:ext>
          </c:extLst>
        </c:ser>
        <c:dLbls>
          <c:showLegendKey val="0"/>
          <c:showVal val="0"/>
          <c:showCatName val="0"/>
          <c:showSerName val="0"/>
          <c:showPercent val="0"/>
          <c:showBubbleSize val="0"/>
        </c:dLbls>
        <c:smooth val="0"/>
        <c:axId val="888031064"/>
        <c:axId val="888031424"/>
      </c:lineChart>
      <c:dateAx>
        <c:axId val="888031064"/>
        <c:scaling>
          <c:orientation val="minMax"/>
        </c:scaling>
        <c:delete val="0"/>
        <c:axPos val="b"/>
        <c:numFmt formatCode="mmm\-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88031424"/>
        <c:crosses val="autoZero"/>
        <c:auto val="1"/>
        <c:lblOffset val="100"/>
        <c:baseTimeUnit val="months"/>
        <c:majorUnit val="387"/>
        <c:majorTimeUnit val="days"/>
      </c:dateAx>
      <c:valAx>
        <c:axId val="888031424"/>
        <c:scaling>
          <c:orientation val="minMax"/>
        </c:scaling>
        <c:delete val="0"/>
        <c:axPos val="l"/>
        <c:majorGridlines>
          <c:spPr>
            <a:ln w="3175" cap="flat" cmpd="sng" algn="ctr">
              <a:solidFill>
                <a:schemeClr val="bg1">
                  <a:lumMod val="95000"/>
                  <a:alpha val="8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88031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4.jpe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Obrázek 1" descr="case-equity-market-neutral-chart4"/>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5760720" cy="2495550"/>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Fidelity 2020">
    <a:dk1>
      <a:srgbClr val="20242B"/>
    </a:dk1>
    <a:lt1>
      <a:srgbClr val="FFFFFF"/>
    </a:lt1>
    <a:dk2>
      <a:srgbClr val="525C6C"/>
    </a:dk2>
    <a:lt2>
      <a:srgbClr val="F0F0F1"/>
    </a:lt2>
    <a:accent1>
      <a:srgbClr val="2190C2"/>
    </a:accent1>
    <a:accent2>
      <a:srgbClr val="EA6A19"/>
    </a:accent2>
    <a:accent3>
      <a:srgbClr val="FFC000"/>
    </a:accent3>
    <a:accent4>
      <a:srgbClr val="82C823"/>
    </a:accent4>
    <a:accent5>
      <a:srgbClr val="11C5C5"/>
    </a:accent5>
    <a:accent6>
      <a:srgbClr val="C74BD5"/>
    </a:accent6>
    <a:hlink>
      <a:srgbClr val="1175AA"/>
    </a:hlink>
    <a:folHlink>
      <a:srgbClr val="951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1923</Words>
  <Characters>11346</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13243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2024-10-31T13:41:00Z</dcterms:created>
  <dcterms:modified xsi:type="dcterms:W3CDTF">2024-11-01T10:09:00Z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